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: "______"_________________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="00556DA9">
        <w:rPr>
          <w:rFonts w:ascii="Times New Roman" w:eastAsia="Times New Roman" w:hAnsi="Times New Roman" w:cs="Times New Roman"/>
          <w:b/>
          <w:bCs/>
          <w:lang w:eastAsia="ru-RU"/>
        </w:rPr>
        <w:t>Облако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"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556DA9" w:rsidRPr="00556DA9">
        <w:rPr>
          <w:rFonts w:ascii="Times New Roman" w:hAnsi="Times New Roman" w:cs="Times New Roman"/>
        </w:rPr>
        <w:t>1207700432818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"Регистратор",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  <w:t>"и7" Пояркова Ильи  Игоревича, действующего на основании Устава ООО "</w:t>
      </w:r>
      <w:r w:rsidR="00556DA9">
        <w:rPr>
          <w:rFonts w:ascii="Times New Roman" w:hAnsi="Times New Roman" w:cs="Times New Roman"/>
        </w:rPr>
        <w:t>Облако</w:t>
      </w:r>
      <w:r w:rsidR="002A0ECC" w:rsidRPr="002A0ECC">
        <w:rPr>
          <w:rFonts w:ascii="Times New Roman" w:hAnsi="Times New Roman" w:cs="Times New Roman"/>
        </w:rPr>
        <w:t>"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организации № 1 от 1</w:t>
      </w:r>
      <w:r w:rsidR="00556DA9">
        <w:rPr>
          <w:rFonts w:ascii="Times New Roman" w:hAnsi="Times New Roman" w:cs="Times New Roman"/>
        </w:rPr>
        <w:t>6</w:t>
      </w:r>
      <w:r w:rsidR="002A0ECC" w:rsidRPr="002A0ECC">
        <w:rPr>
          <w:rFonts w:ascii="Times New Roman" w:hAnsi="Times New Roman" w:cs="Times New Roman"/>
        </w:rPr>
        <w:t>.11.2020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"________________"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"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Заказчик",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8E4D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совместно именуемые "Стороны", а по отдельности "Сторона",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556DA9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016D7C" w:rsidRDefault="00E745E6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4188627"/>
      <w:r>
        <w:rPr>
          <w:rFonts w:ascii="Times New Roman" w:eastAsia="Times New Roman" w:hAnsi="Times New Roman" w:cs="Times New Roman"/>
          <w:lang w:eastAsia="ru-RU"/>
        </w:rPr>
        <w:t xml:space="preserve">Если между Сторонами нет действующего Договора (у Заказчика нет доступа к клиентскому разделу и </w:t>
      </w:r>
      <w:r w:rsidR="00366C06">
        <w:rPr>
          <w:rFonts w:ascii="Times New Roman" w:eastAsia="Times New Roman" w:hAnsi="Times New Roman" w:cs="Times New Roman"/>
          <w:lang w:eastAsia="ru-RU"/>
        </w:rPr>
        <w:t xml:space="preserve">ни одно доменное имя не </w:t>
      </w:r>
      <w:r>
        <w:rPr>
          <w:rFonts w:ascii="Times New Roman" w:eastAsia="Times New Roman" w:hAnsi="Times New Roman" w:cs="Times New Roman"/>
          <w:lang w:eastAsia="ru-RU"/>
        </w:rPr>
        <w:t xml:space="preserve">зарегистрированного </w:t>
      </w:r>
      <w:r w:rsidR="00366C06">
        <w:rPr>
          <w:rFonts w:ascii="Times New Roman" w:eastAsia="Times New Roman" w:hAnsi="Times New Roman" w:cs="Times New Roman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lang w:eastAsia="ru-RU"/>
        </w:rPr>
        <w:t>у Регистратора), то п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ри регистрации доменного имени Договор в отношении доменного имени считается заключенным, если Заказчик выполнил условия, предусмотренные </w:t>
      </w:r>
      <w:r w:rsidR="00016D7C" w:rsidRPr="00715DDD">
        <w:rPr>
          <w:rFonts w:ascii="Times New Roman" w:eastAsia="Times New Roman" w:hAnsi="Times New Roman" w:cs="Times New Roman"/>
          <w:lang w:eastAsia="ru-RU"/>
        </w:rPr>
        <w:t>Договором для регистрации доменного имени</w:t>
      </w:r>
      <w:r w:rsidR="00366C06" w:rsidRPr="00715DDD">
        <w:rPr>
          <w:rFonts w:ascii="Times New Roman" w:eastAsia="Times New Roman" w:hAnsi="Times New Roman" w:cs="Times New Roman"/>
          <w:lang w:eastAsia="ru-RU"/>
        </w:rPr>
        <w:t xml:space="preserve">, оформил заявку, как это предусмотрено на Сайте по адресу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556DA9">
        <w:rPr>
          <w:rStyle w:val="af2"/>
          <w:rFonts w:ascii="Times New Roman" w:eastAsia="Times New Roman" w:hAnsi="Times New Roman" w:cs="Times New Roman"/>
          <w:lang w:eastAsia="ru-RU"/>
        </w:rPr>
        <w:t>cloudy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016D7C" w:rsidRPr="00715DDD">
        <w:rPr>
          <w:rFonts w:ascii="Times New Roman" w:eastAsia="Times New Roman" w:hAnsi="Times New Roman" w:cs="Times New Roman"/>
          <w:lang w:eastAsia="ru-RU"/>
        </w:rPr>
        <w:t>,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и выплатил Регистратору вознаграждение в полном об</w:t>
      </w:r>
      <w:r w:rsidR="00612CAE">
        <w:rPr>
          <w:rFonts w:ascii="Times New Roman" w:eastAsia="Times New Roman" w:hAnsi="Times New Roman" w:cs="Times New Roman"/>
          <w:lang w:eastAsia="ru-RU"/>
        </w:rPr>
        <w:t>ъеме и в порядке, предусмотренно</w:t>
      </w:r>
      <w:r w:rsidR="00016D7C">
        <w:rPr>
          <w:rFonts w:ascii="Times New Roman" w:eastAsia="Times New Roman" w:hAnsi="Times New Roman" w:cs="Times New Roman"/>
          <w:lang w:eastAsia="ru-RU"/>
        </w:rPr>
        <w:t>м Договором, если иной момент не определен Сторонами. Договор считается заключенным в соответствии с п. 3 ст. 438 Гражданского кодекса путем совершения действий, предусмотренных в оферте (Договоре)</w:t>
      </w:r>
      <w:r w:rsidR="00612CAE">
        <w:rPr>
          <w:rFonts w:ascii="Times New Roman" w:eastAsia="Times New Roman" w:hAnsi="Times New Roman" w:cs="Times New Roman"/>
          <w:lang w:eastAsia="ru-RU"/>
        </w:rPr>
        <w:t>,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в момент поступления предоплаты.</w:t>
      </w:r>
      <w:bookmarkEnd w:id="1"/>
    </w:p>
    <w:p w:rsidR="001E49BA" w:rsidRDefault="001E49BA" w:rsidP="001E49B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4188814"/>
      <w:r>
        <w:rPr>
          <w:rFonts w:ascii="Times New Roman" w:eastAsia="Times New Roman" w:hAnsi="Times New Roman" w:cs="Times New Roman"/>
          <w:lang w:eastAsia="ru-RU"/>
        </w:rPr>
        <w:t>Если между Сторонами уже заключен Договор (у Заказчика есть доступ к клиентскому разделу и зарегистрировано хотя бы одно доменное имя у Регистратора), Заказчик направляет через клиентский раздел заявку на регистрацию доменного имени, при возможности его регистрации Регистратор выставляет счет, выплата вознаграждения в полном объеме и в порядке, предусмотренном Договором, считается согласием Заказчика на регистрацию доменного имени на условиях Договора. Договор в отношении регистрируемого доменного имени считается заключенным в соответствии с п. 3 ст. 438 Гражданского кодекса путем совершения действий, предусмотренных в оферте (Договоре), в момент поступления предоплаты. Доменное имя добавляется клиентский раздел Заказчика.</w:t>
      </w:r>
      <w:bookmarkEnd w:id="2"/>
    </w:p>
    <w:p w:rsidR="00016D7C" w:rsidRPr="001E49BA" w:rsidRDefault="001E49BA" w:rsidP="001E49B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4188816"/>
      <w:r w:rsidRPr="00B1737C">
        <w:rPr>
          <w:rFonts w:ascii="Times New Roman" w:hAnsi="Times New Roman" w:cs="Times New Roman"/>
        </w:rPr>
        <w:t>В случае передачи по инициативе Заказчика (администратора) доменного имени или иных услуг на        обслуживание к Регистратору от иного Регистратора-донора</w:t>
      </w:r>
      <w:r>
        <w:rPr>
          <w:rFonts w:ascii="Times New Roman" w:hAnsi="Times New Roman" w:cs="Times New Roman"/>
        </w:rPr>
        <w:t>, фактом заключения Договора будет являться</w:t>
      </w:r>
      <w:r w:rsidRPr="00B1737C">
        <w:rPr>
          <w:rFonts w:ascii="Times New Roman" w:hAnsi="Times New Roman" w:cs="Times New Roman"/>
        </w:rPr>
        <w:t xml:space="preserve"> направленное в адрес Регистратора письмо Заказчика о передаче услуг по установленной Регистратором форме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B6373">
        <w:rPr>
          <w:rFonts w:ascii="Times New Roman" w:hAnsi="Times New Roman" w:cs="Times New Roman"/>
        </w:rPr>
        <w:t>В случае передачи Заказчику от иного лица права администрирования доменного имени или иных услуг фактом заключения Договора будет являться направленное в адрес Регистратора письмо Заказчика о приеме услуг по установленной Регистратором форме или надлежащим образом произведенные действия, свидетельствующие о желании Заказчика быть администратором домена по установленным правилам, действующим у Регистратора на момент совершения таких действий</w:t>
      </w:r>
      <w:r w:rsidRPr="006B6373">
        <w:rPr>
          <w:rFonts w:ascii="Times New Roman" w:eastAsia="Times New Roman" w:hAnsi="Times New Roman" w:cs="Times New Roman"/>
          <w:lang w:eastAsia="ru-RU"/>
        </w:rPr>
        <w:t>.</w:t>
      </w:r>
      <w:bookmarkEnd w:id="3"/>
    </w:p>
    <w:p w:rsidR="00016D7C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4"/>
    </w:p>
    <w:p w:rsidR="00016D7C" w:rsidRDefault="00016D7C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Логин </w:t>
      </w:r>
      <w:r w:rsidR="00366C06">
        <w:rPr>
          <w:rFonts w:ascii="Times New Roman" w:eastAsia="Times New Roman" w:hAnsi="Times New Roman" w:cs="Times New Roman"/>
          <w:lang w:eastAsia="ru-RU"/>
        </w:rPr>
        <w:t>и пароль назначаю</w:t>
      </w:r>
      <w:r>
        <w:rPr>
          <w:rFonts w:ascii="Times New Roman" w:eastAsia="Times New Roman" w:hAnsi="Times New Roman" w:cs="Times New Roman"/>
          <w:lang w:eastAsia="ru-RU"/>
        </w:rPr>
        <w:t xml:space="preserve">тся Заказчику Регистратором, </w:t>
      </w:r>
      <w:r w:rsidR="00366C06">
        <w:rPr>
          <w:rFonts w:ascii="Times New Roman" w:eastAsia="Times New Roman" w:hAnsi="Times New Roman" w:cs="Times New Roman"/>
          <w:lang w:eastAsia="ru-RU"/>
        </w:rPr>
        <w:t xml:space="preserve">Заказчик впоследствии может поменять </w:t>
      </w:r>
      <w:r>
        <w:rPr>
          <w:rFonts w:ascii="Times New Roman" w:eastAsia="Times New Roman" w:hAnsi="Times New Roman" w:cs="Times New Roman"/>
          <w:lang w:eastAsia="ru-RU"/>
        </w:rPr>
        <w:t>пароль.</w:t>
      </w:r>
    </w:p>
    <w:p w:rsidR="004123A5" w:rsidRDefault="00366C06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случае, предусмотренном п. 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_Ref304188627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2.1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Договора, Регистратор создает для Заказчика доступ </w:t>
      </w:r>
      <w:r w:rsidR="004123A5">
        <w:rPr>
          <w:rFonts w:ascii="Times New Roman" w:eastAsia="Times New Roman" w:hAnsi="Times New Roman" w:cs="Times New Roman"/>
          <w:lang w:eastAsia="ru-RU"/>
        </w:rPr>
        <w:t xml:space="preserve">в клиентский раздел сразу после заключения Договора, о чем Заказчик уведомляется по электронной почте. До момента </w:t>
      </w:r>
      <w:r w:rsidR="004123A5">
        <w:rPr>
          <w:rFonts w:ascii="Times New Roman" w:eastAsia="Times New Roman" w:hAnsi="Times New Roman" w:cs="Times New Roman"/>
          <w:lang w:eastAsia="ru-RU"/>
        </w:rPr>
        <w:lastRenderedPageBreak/>
        <w:t>заключения Договора Заказчику может быть предоставлен временный и/или ограниченный доступ (Заказчик уведомляется по электронной почте о таком доступе и его ограничениях).</w:t>
      </w:r>
    </w:p>
    <w:p w:rsidR="00016D7C" w:rsidRDefault="009171BC" w:rsidP="009171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иных случаях, когда у </w:t>
      </w:r>
      <w:r w:rsidR="00016D7C">
        <w:rPr>
          <w:rFonts w:ascii="Times New Roman" w:eastAsia="Times New Roman" w:hAnsi="Times New Roman" w:cs="Times New Roman"/>
          <w:lang w:eastAsia="ru-RU"/>
        </w:rPr>
        <w:t>Заказчик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уже </w:t>
      </w:r>
      <w:r>
        <w:rPr>
          <w:rFonts w:ascii="Times New Roman" w:eastAsia="Times New Roman" w:hAnsi="Times New Roman" w:cs="Times New Roman"/>
          <w:lang w:eastAsia="ru-RU"/>
        </w:rPr>
        <w:t xml:space="preserve">есть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доступ к клиентскому разделу, запись о </w:t>
      </w:r>
      <w:r>
        <w:rPr>
          <w:rFonts w:ascii="Times New Roman" w:eastAsia="Times New Roman" w:hAnsi="Times New Roman" w:cs="Times New Roman"/>
          <w:lang w:eastAsia="ru-RU"/>
        </w:rPr>
        <w:t xml:space="preserve">его новом доменном имени </w:t>
      </w:r>
      <w:r w:rsidR="00016D7C">
        <w:rPr>
          <w:rFonts w:ascii="Times New Roman" w:eastAsia="Times New Roman" w:hAnsi="Times New Roman" w:cs="Times New Roman"/>
          <w:lang w:eastAsia="ru-RU"/>
        </w:rPr>
        <w:t>добавляется к клиентскому разделу Заказчика</w:t>
      </w:r>
      <w:r>
        <w:rPr>
          <w:rFonts w:ascii="Times New Roman" w:eastAsia="Times New Roman" w:hAnsi="Times New Roman" w:cs="Times New Roman"/>
          <w:lang w:eastAsia="ru-RU"/>
        </w:rPr>
        <w:t xml:space="preserve"> в момент заключения Договора в отношении такого доменного имени, как он определен в п.п. 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_Ref304188814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2.2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instrText xml:space="preserve"> REF _Ref304188816 \r \h </w:instrText>
      </w:r>
      <w:r w:rsidR="00A103B0">
        <w:rPr>
          <w:rFonts w:ascii="Times New Roman" w:eastAsia="Times New Roman" w:hAnsi="Times New Roman" w:cs="Times New Roman"/>
          <w:lang w:eastAsia="ru-RU"/>
        </w:rPr>
      </w:r>
      <w:r w:rsidR="00A103B0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2.3</w:t>
      </w:r>
      <w:r w:rsidR="00A103B0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</w:p>
    <w:p w:rsidR="00016D7C" w:rsidRDefault="003D1A97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Заказчик вправе создать 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для третьих лиц </w:t>
      </w:r>
      <w:r w:rsidR="00016D7C">
        <w:rPr>
          <w:rFonts w:ascii="Times New Roman" w:eastAsia="Times New Roman" w:hAnsi="Times New Roman" w:cs="Times New Roman"/>
          <w:lang w:eastAsia="ru-RU"/>
        </w:rPr>
        <w:t>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881656"/>
      <w:bookmarkStart w:id="6" w:name="_Ref272433406"/>
      <w:bookmarkStart w:id="7" w:name="_Ref247707190"/>
      <w:r>
        <w:rPr>
          <w:rFonts w:ascii="Times New Roman" w:eastAsia="Times New Roman" w:hAnsi="Times New Roman" w:cs="Times New Roman"/>
          <w:lang w:eastAsia="ru-RU"/>
        </w:rPr>
        <w:t>Стороны договорились считать для себя обязательными утверждаемые АНО "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>
        <w:rPr>
          <w:rFonts w:ascii="Times New Roman" w:eastAsia="Times New Roman" w:hAnsi="Times New Roman" w:cs="Times New Roman"/>
          <w:lang w:eastAsia="ru-RU"/>
        </w:rPr>
        <w:t>"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</w:t>
      </w:r>
      <w:proofErr w:type="gramStart"/>
      <w:r w:rsidRPr="006E2DE5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6E2DE5">
        <w:rPr>
          <w:rFonts w:ascii="Times New Roman" w:eastAsia="Times New Roman" w:hAnsi="Times New Roman" w:cs="Times New Roman"/>
          <w:lang w:eastAsia="ru-RU"/>
        </w:rPr>
        <w:t>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5"/>
      <w:r w:rsidR="001E49BA">
        <w:rPr>
          <w:rFonts w:ascii="Times New Roman" w:eastAsia="Times New Roman" w:hAnsi="Times New Roman" w:cs="Times New Roman"/>
          <w:lang w:eastAsia="ru-RU"/>
        </w:rPr>
        <w:t>Указанные правила в их актуальной редакции размещаются на сайте АНО "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"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</w:t>
      </w:r>
      <w:bookmarkEnd w:id="6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4C6A64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4C6A64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https://</w:t>
      </w:r>
      <w:r w:rsidR="00556DA9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cloudy</w:t>
      </w:r>
      <w:r w:rsidR="00F2250D" w:rsidRPr="00556DA9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7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8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556DA9">
        <w:rPr>
          <w:rStyle w:val="af2"/>
          <w:rFonts w:ascii="Times New Roman" w:hAnsi="Times New Roman" w:cs="Times New Roman"/>
        </w:rPr>
        <w:t>https://</w:t>
      </w:r>
      <w:r w:rsidR="00556DA9" w:rsidRPr="00556DA9">
        <w:rPr>
          <w:rStyle w:val="af2"/>
          <w:rFonts w:ascii="Times New Roman" w:hAnsi="Times New Roman" w:cs="Times New Roman"/>
        </w:rPr>
        <w:t>cloudy</w:t>
      </w:r>
      <w:r w:rsidR="00F2250D" w:rsidRPr="00556DA9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9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Требование </w:t>
      </w:r>
      <w:r w:rsidR="007E05A5">
        <w:rPr>
          <w:rFonts w:ascii="Times New Roman" w:eastAsia="Times New Roman" w:hAnsi="Times New Roman" w:cs="Times New Roman"/>
          <w:lang w:eastAsia="ru-RU"/>
        </w:rPr>
        <w:lastRenderedPageBreak/>
        <w:t>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6A64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016D7C" w:rsidRDefault="003B6C3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A103B0" w:rsidRPr="003B6C3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B6C3C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A103B0" w:rsidRPr="003B6C3C">
        <w:rPr>
          <w:rFonts w:ascii="Times New Roman" w:eastAsia="Times New Roman" w:hAnsi="Times New Roman" w:cs="Times New Roman"/>
          <w:lang w:eastAsia="ru-RU"/>
        </w:rPr>
      </w:r>
      <w:r w:rsidR="00A103B0" w:rsidRPr="003B6C3C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="00A103B0" w:rsidRPr="003B6C3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B6C3C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</w:p>
    <w:p w:rsidR="0046187A" w:rsidRDefault="003B6C3C" w:rsidP="0046187A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не может продлить регистрацию доменного имени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ранее чем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до окончания срока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текущей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регистрации. Однако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Заказчик вправе подать заявку на продление ранее чем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 и оплатить выставленный Регистратором счет. За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до окончания срока регистрации в реестр доменных имен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будет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>внесена запись о продлении регистрации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а полученный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>аванс пойдет в счет оплаты оказанной услуги продления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регистрации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. До указанного момента </w:t>
      </w:r>
      <w:r w:rsidR="001E49BA">
        <w:rPr>
          <w:rFonts w:ascii="Times New Roman" w:eastAsia="Times New Roman" w:hAnsi="Times New Roman" w:cs="Times New Roman"/>
          <w:lang w:eastAsia="ru-RU"/>
        </w:rPr>
        <w:t>Заказчик вправе</w:t>
      </w:r>
      <w:r w:rsidR="001E49BA" w:rsidRPr="001344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через клиентский раздел или в письменной форме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отозвать заявку на продление и вернуть </w:t>
      </w:r>
      <w:r w:rsidR="001E49BA">
        <w:rPr>
          <w:rFonts w:ascii="Times New Roman" w:eastAsia="Times New Roman" w:hAnsi="Times New Roman" w:cs="Times New Roman"/>
          <w:lang w:eastAsia="ru-RU"/>
        </w:rPr>
        <w:t>выплаченный аванс.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услуг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4C6A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556DA9">
        <w:rPr>
          <w:rStyle w:val="af2"/>
          <w:rFonts w:ascii="Times New Roman" w:hAnsi="Times New Roman" w:cs="Times New Roman"/>
        </w:rPr>
        <w:t>cloudy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0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10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"</w:t>
            </w:r>
            <w:r w:rsidR="00556DA9"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Облако</w:t>
            </w:r>
            <w:r w:rsidRPr="00556D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79536C" w:rsidRPr="00556DA9">
              <w:rPr>
                <w:rFonts w:ascii="Times New Roman" w:hAnsi="Times New Roman" w:cs="Times New Roman"/>
              </w:rPr>
              <w:t>1207700432818</w:t>
            </w:r>
            <w:bookmarkStart w:id="11" w:name="_GoBack"/>
            <w:bookmarkEnd w:id="11"/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556DA9" w:rsidRPr="00556DA9">
              <w:rPr>
                <w:rFonts w:ascii="Times New Roman" w:hAnsi="Times New Roman" w:cs="Times New Roman"/>
              </w:rPr>
              <w:t>7708391435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9F0BE9" w:rsidP="00556DA9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556DA9" w:rsidRPr="00556DA9">
              <w:rPr>
                <w:rFonts w:ascii="Times New Roman" w:hAnsi="Times New Roman" w:cs="Times New Roman"/>
              </w:rPr>
              <w:t xml:space="preserve">107140, г. Москва, 1-й </w:t>
            </w:r>
            <w:proofErr w:type="spellStart"/>
            <w:r w:rsidR="00556DA9" w:rsidRPr="00556DA9"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 w:rsidR="00556DA9" w:rsidRPr="00556DA9">
              <w:rPr>
                <w:rFonts w:ascii="Times New Roman" w:hAnsi="Times New Roman" w:cs="Times New Roman"/>
              </w:rPr>
              <w:t xml:space="preserve"> пер., д. 3, подвал 1, пом. I, ком. 17, оф. 873</w:t>
            </w:r>
            <w:r w:rsidR="004274F1"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2250D" w:rsidRPr="00556DA9" w:rsidRDefault="00F2250D" w:rsidP="00F2250D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556DA9" w:rsidRPr="00556DA9">
              <w:rPr>
                <w:rStyle w:val="js-phone-number"/>
                <w:rFonts w:ascii="Times New Roman" w:hAnsi="Times New Roman" w:cs="Times New Roman"/>
              </w:rPr>
              <w:t>+7 925 0707758</w:t>
            </w: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556DA9" w:rsidRDefault="00F2250D" w:rsidP="00F2250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Pr="00556DA9">
              <w:rPr>
                <w:rFonts w:ascii="Times New Roman" w:hAnsi="Times New Roman" w:cs="Times New Roman"/>
                <w:lang w:val="en-US"/>
              </w:rPr>
              <w:t>info@</w:t>
            </w:r>
            <w:r w:rsidR="00556DA9" w:rsidRPr="00556DA9">
              <w:rPr>
                <w:rFonts w:ascii="Times New Roman" w:hAnsi="Times New Roman" w:cs="Times New Roman"/>
                <w:lang w:val="en-US"/>
              </w:rPr>
              <w:t>cloudy</w:t>
            </w:r>
            <w:r w:rsidRPr="00556DA9">
              <w:rPr>
                <w:rFonts w:ascii="Times New Roman" w:hAnsi="Times New Roman" w:cs="Times New Roman"/>
                <w:lang w:val="en-US"/>
              </w:rPr>
              <w:t>.ru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556DA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556DA9" w:rsidRPr="00556DA9">
              <w:rPr>
                <w:rFonts w:ascii="Times New Roman" w:hAnsi="Times New Roman" w:cs="Times New Roman"/>
              </w:rPr>
              <w:t>40702810210000729164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556DA9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БАНК: </w:t>
            </w:r>
            <w:r w:rsidR="00F2250D" w:rsidRPr="00556DA9">
              <w:rPr>
                <w:rFonts w:ascii="Times New Roman" w:hAnsi="Times New Roman" w:cs="Times New Roman"/>
              </w:rPr>
              <w:t>АО «Тинькофф Банк»</w:t>
            </w:r>
          </w:p>
          <w:p w:rsidR="009F0BE9" w:rsidRPr="00556DA9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556DA9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60C" w:rsidRDefault="0097460C">
      <w:pPr>
        <w:spacing w:after="0" w:line="240" w:lineRule="auto"/>
      </w:pPr>
      <w:r>
        <w:separator/>
      </w:r>
    </w:p>
  </w:endnote>
  <w:endnote w:type="continuationSeparator" w:id="0">
    <w:p w:rsidR="0097460C" w:rsidRDefault="0097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7" w:type="pct"/>
      <w:tblLook w:val="01E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proofErr w:type="gram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proofErr w:type="gram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A103B0" w:rsidRPr="00A103B0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103B0" w:rsidRPr="00A103B0">
            <w:rPr>
              <w:i/>
              <w:sz w:val="20"/>
              <w:szCs w:val="20"/>
              <w:lang w:val="en-GB"/>
            </w:rPr>
            <w:fldChar w:fldCharType="separate"/>
          </w:r>
          <w:r w:rsidR="008E4D4B">
            <w:rPr>
              <w:i/>
              <w:noProof/>
              <w:sz w:val="20"/>
              <w:szCs w:val="20"/>
              <w:lang w:val="en-GB"/>
            </w:rPr>
            <w:t>4</w:t>
          </w:r>
          <w:r w:rsidR="00A103B0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A103B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103B0">
            <w:rPr>
              <w:i/>
              <w:sz w:val="20"/>
              <w:szCs w:val="20"/>
              <w:lang w:val="en-GB"/>
            </w:rPr>
            <w:fldChar w:fldCharType="separate"/>
          </w:r>
          <w:r w:rsidR="008E4D4B">
            <w:rPr>
              <w:i/>
              <w:noProof/>
              <w:sz w:val="20"/>
              <w:szCs w:val="20"/>
              <w:lang w:val="en-GB"/>
            </w:rPr>
            <w:t>6</w:t>
          </w:r>
          <w:r w:rsidR="00A103B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60C" w:rsidRDefault="0097460C">
      <w:pPr>
        <w:spacing w:after="0" w:line="240" w:lineRule="auto"/>
      </w:pPr>
      <w:r>
        <w:separator/>
      </w:r>
    </w:p>
  </w:footnote>
  <w:footnote w:type="continuationSeparator" w:id="0">
    <w:p w:rsidR="0097460C" w:rsidRDefault="0097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C6A64"/>
    <w:rsid w:val="004D7F07"/>
    <w:rsid w:val="004F03A9"/>
    <w:rsid w:val="004F5ED6"/>
    <w:rsid w:val="005004E4"/>
    <w:rsid w:val="005034D6"/>
    <w:rsid w:val="00520420"/>
    <w:rsid w:val="00525730"/>
    <w:rsid w:val="00534557"/>
    <w:rsid w:val="0054265E"/>
    <w:rsid w:val="0054290D"/>
    <w:rsid w:val="00556DA9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6C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E4D4B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460C"/>
    <w:rsid w:val="00977D0D"/>
    <w:rsid w:val="00981B10"/>
    <w:rsid w:val="00984043"/>
    <w:rsid w:val="00990CC3"/>
    <w:rsid w:val="009A5AEA"/>
    <w:rsid w:val="009B51CF"/>
    <w:rsid w:val="009B6274"/>
    <w:rsid w:val="009F0BE9"/>
    <w:rsid w:val="00A103B0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D41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4F8E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82B5A"/>
    <w:rsid w:val="00D922DA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11E0-939C-4CA7-96AE-C87216B4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linux</cp:lastModifiedBy>
  <cp:revision>9</cp:revision>
  <cp:lastPrinted>2011-09-19T01:40:00Z</cp:lastPrinted>
  <dcterms:created xsi:type="dcterms:W3CDTF">2020-08-18T08:20:00Z</dcterms:created>
  <dcterms:modified xsi:type="dcterms:W3CDTF">2022-06-01T11:30:00Z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